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556DA" w14:textId="77777777" w:rsidR="00CA31F2" w:rsidRPr="00A7577A" w:rsidRDefault="00CA31F2" w:rsidP="00CA31F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7577A">
        <w:rPr>
          <w:rFonts w:ascii="Arial" w:eastAsia="MS Mincho" w:hAnsi="Arial" w:cs="Arial"/>
          <w:b/>
          <w:sz w:val="24"/>
          <w:szCs w:val="24"/>
        </w:rPr>
        <w:t>SENATE MEETING SUMMARY</w:t>
      </w:r>
    </w:p>
    <w:p w14:paraId="10818AEB" w14:textId="77777777" w:rsidR="00CA31F2" w:rsidRDefault="00CA31F2" w:rsidP="00CA31F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March 8, 2017</w:t>
      </w:r>
    </w:p>
    <w:p w14:paraId="54BB02CF" w14:textId="77777777" w:rsidR="00F8692D" w:rsidRDefault="001C4AAE"/>
    <w:p w14:paraId="25678F56" w14:textId="77777777" w:rsidR="00CA31F2" w:rsidRDefault="00CA31F2" w:rsidP="00CA31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1F2">
        <w:rPr>
          <w:rFonts w:ascii="Arial" w:hAnsi="Arial" w:cs="Arial"/>
          <w:sz w:val="24"/>
          <w:szCs w:val="24"/>
        </w:rPr>
        <w:t>Special Order:  Presidential Briefing</w:t>
      </w:r>
    </w:p>
    <w:p w14:paraId="10F2A705" w14:textId="68B7D339" w:rsidR="00E83C0C" w:rsidRDefault="00E83C0C" w:rsidP="00E83C0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Loh spoke about budget cuts to the University for </w:t>
      </w:r>
      <w:r w:rsidR="002D6F72">
        <w:rPr>
          <w:rFonts w:ascii="Arial" w:hAnsi="Arial" w:cs="Arial"/>
          <w:sz w:val="24"/>
          <w:szCs w:val="24"/>
        </w:rPr>
        <w:t>FY18</w:t>
      </w:r>
      <w:r>
        <w:rPr>
          <w:rFonts w:ascii="Arial" w:hAnsi="Arial" w:cs="Arial"/>
          <w:sz w:val="24"/>
          <w:szCs w:val="24"/>
        </w:rPr>
        <w:t xml:space="preserve"> and stated that these cuts have more than a monetary impact. He added that </w:t>
      </w:r>
      <w:r w:rsidR="002D6F7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University is dealing with a fundamental threat to the core values of higher education.</w:t>
      </w:r>
    </w:p>
    <w:p w14:paraId="47FE16F3" w14:textId="77777777" w:rsidR="00E83C0C" w:rsidRPr="00CA31F2" w:rsidRDefault="00E83C0C" w:rsidP="00E83C0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Loh also noted that repealing the Affordable Care Act would negatively affect the budget for the State of Maryland</w:t>
      </w:r>
      <w:r w:rsidR="002D6F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could also lead to layoffs and a decrease in state revenues.</w:t>
      </w:r>
    </w:p>
    <w:p w14:paraId="79C34197" w14:textId="77777777" w:rsidR="00CA31F2" w:rsidRPr="00CA31F2" w:rsidRDefault="00CA31F2" w:rsidP="00CA31F2">
      <w:pPr>
        <w:pStyle w:val="ListParagraph"/>
        <w:numPr>
          <w:ilvl w:val="0"/>
          <w:numId w:val="3"/>
        </w:numPr>
      </w:pPr>
      <w:r w:rsidRPr="00CA31F2">
        <w:rPr>
          <w:rFonts w:ascii="Arial" w:eastAsia="MS Mincho" w:hAnsi="Arial" w:cs="Arial"/>
          <w:sz w:val="24"/>
          <w:szCs w:val="24"/>
        </w:rPr>
        <w:t>Senate Chair’s Report</w:t>
      </w:r>
    </w:p>
    <w:p w14:paraId="52B82B7A" w14:textId="5D33D7AF" w:rsidR="00CA31F2" w:rsidRPr="00CA31F2" w:rsidRDefault="00CA31F2" w:rsidP="00CA31F2">
      <w:pPr>
        <w:pStyle w:val="ListParagraph"/>
        <w:numPr>
          <w:ilvl w:val="1"/>
          <w:numId w:val="3"/>
        </w:numPr>
      </w:pPr>
      <w:r>
        <w:rPr>
          <w:rFonts w:ascii="Arial" w:eastAsia="MS Mincho" w:hAnsi="Arial" w:cs="Arial"/>
          <w:sz w:val="24"/>
          <w:szCs w:val="24"/>
        </w:rPr>
        <w:t xml:space="preserve">The Senate Chair spoke about the importance of philanthropy and giving back to the University. </w:t>
      </w:r>
      <w:r w:rsidR="002D6F72">
        <w:rPr>
          <w:rFonts w:ascii="Arial" w:eastAsia="MS Mincho" w:hAnsi="Arial" w:cs="Arial"/>
          <w:sz w:val="24"/>
          <w:szCs w:val="24"/>
        </w:rPr>
        <w:t xml:space="preserve">He also emphasized the importance of growing the University’s endowment and showed how our endowment was comparatively much smaller than the other Big Ten </w:t>
      </w:r>
      <w:r w:rsidR="004B00B0">
        <w:rPr>
          <w:rFonts w:ascii="Arial" w:eastAsia="MS Mincho" w:hAnsi="Arial" w:cs="Arial"/>
          <w:sz w:val="24"/>
          <w:szCs w:val="24"/>
        </w:rPr>
        <w:t>institutions</w:t>
      </w:r>
      <w:bookmarkStart w:id="0" w:name="_GoBack"/>
      <w:bookmarkEnd w:id="0"/>
      <w:r w:rsidR="002D6F72">
        <w:rPr>
          <w:rFonts w:ascii="Arial" w:eastAsia="MS Mincho" w:hAnsi="Arial" w:cs="Arial"/>
          <w:sz w:val="24"/>
          <w:szCs w:val="24"/>
        </w:rPr>
        <w:t xml:space="preserve">. </w:t>
      </w:r>
      <w:r>
        <w:rPr>
          <w:rFonts w:ascii="Arial" w:eastAsia="MS Mincho" w:hAnsi="Arial" w:cs="Arial"/>
          <w:sz w:val="24"/>
          <w:szCs w:val="24"/>
        </w:rPr>
        <w:t xml:space="preserve">For the full text of his remarks, please see the </w:t>
      </w:r>
      <w:hyperlink r:id="rId5" w:history="1">
        <w:r w:rsidRPr="00EA2228">
          <w:rPr>
            <w:rStyle w:val="Hyperlink"/>
            <w:rFonts w:ascii="Arial" w:eastAsia="MS Mincho" w:hAnsi="Arial" w:cs="Arial"/>
            <w:sz w:val="24"/>
            <w:szCs w:val="24"/>
          </w:rPr>
          <w:t>March Senate Newsletter</w:t>
        </w:r>
      </w:hyperlink>
      <w:r>
        <w:rPr>
          <w:rFonts w:ascii="Arial" w:eastAsia="MS Mincho" w:hAnsi="Arial" w:cs="Arial"/>
          <w:sz w:val="24"/>
          <w:szCs w:val="24"/>
        </w:rPr>
        <w:t>.</w:t>
      </w:r>
    </w:p>
    <w:p w14:paraId="7E68B744" w14:textId="77777777" w:rsidR="00CA31F2" w:rsidRPr="00CA31F2" w:rsidRDefault="00CA31F2" w:rsidP="00CA31F2">
      <w:pPr>
        <w:pStyle w:val="ListParagraph"/>
        <w:numPr>
          <w:ilvl w:val="1"/>
          <w:numId w:val="3"/>
        </w:numPr>
      </w:pPr>
      <w:r>
        <w:rPr>
          <w:rFonts w:ascii="Arial" w:eastAsia="MS Mincho" w:hAnsi="Arial" w:cs="Arial"/>
          <w:sz w:val="24"/>
          <w:szCs w:val="24"/>
        </w:rPr>
        <w:t xml:space="preserve">The </w:t>
      </w:r>
      <w:hyperlink r:id="rId6" w:history="1">
        <w:r w:rsidRPr="00EA2228">
          <w:rPr>
            <w:rStyle w:val="Hyperlink"/>
            <w:rFonts w:ascii="Arial" w:eastAsia="MS Mincho" w:hAnsi="Arial" w:cs="Arial"/>
            <w:sz w:val="24"/>
            <w:szCs w:val="24"/>
          </w:rPr>
          <w:t>Nominations Committee</w:t>
        </w:r>
      </w:hyperlink>
      <w:r>
        <w:rPr>
          <w:rFonts w:ascii="Arial" w:eastAsia="MS Mincho" w:hAnsi="Arial" w:cs="Arial"/>
          <w:sz w:val="24"/>
          <w:szCs w:val="24"/>
        </w:rPr>
        <w:t xml:space="preserve"> is currently looking for candidates to run for the elected committees and councils. For information on how to submit your nomination, please visit the </w:t>
      </w:r>
      <w:hyperlink r:id="rId7" w:history="1">
        <w:r w:rsidRPr="00A25122">
          <w:rPr>
            <w:rStyle w:val="Hyperlink"/>
            <w:rFonts w:ascii="Arial" w:eastAsia="MS Mincho" w:hAnsi="Arial" w:cs="Arial"/>
            <w:sz w:val="24"/>
            <w:szCs w:val="24"/>
          </w:rPr>
          <w:t>Senate website</w:t>
        </w:r>
      </w:hyperlink>
      <w:r>
        <w:rPr>
          <w:rFonts w:ascii="Arial" w:eastAsia="MS Mincho" w:hAnsi="Arial" w:cs="Arial"/>
          <w:sz w:val="24"/>
          <w:szCs w:val="24"/>
        </w:rPr>
        <w:t>.</w:t>
      </w:r>
    </w:p>
    <w:p w14:paraId="124BA4A4" w14:textId="77777777" w:rsidR="00CA31F2" w:rsidRPr="00F83666" w:rsidRDefault="001C4AAE" w:rsidP="00CA31F2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="00CA31F2" w:rsidRPr="00A25122">
          <w:rPr>
            <w:rStyle w:val="Hyperlink"/>
            <w:rFonts w:ascii="Arial" w:hAnsi="Arial" w:cs="Arial"/>
            <w:sz w:val="24"/>
            <w:szCs w:val="24"/>
          </w:rPr>
          <w:t>Review of the Interim University of Maryland Equal Employment Opportunity &amp; Affirmative Action Statement of Policy (Senate Doc. No. 16-17-26) (Action)</w:t>
        </w:r>
      </w:hyperlink>
    </w:p>
    <w:p w14:paraId="7AF7E1A5" w14:textId="77777777" w:rsidR="00F83666" w:rsidRPr="00F83666" w:rsidRDefault="00F83666" w:rsidP="00F8366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B53DC1">
        <w:rPr>
          <w:rFonts w:ascii="Arial" w:eastAsia="MS Mincho" w:hAnsi="Arial" w:cs="Arial"/>
          <w:sz w:val="24"/>
          <w:szCs w:val="24"/>
        </w:rPr>
        <w:t>The Senate voted to approve the proposal.</w:t>
      </w:r>
    </w:p>
    <w:p w14:paraId="12986E61" w14:textId="77777777" w:rsidR="00CA31F2" w:rsidRPr="00F83666" w:rsidRDefault="001C4AAE" w:rsidP="00CA31F2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CA31F2" w:rsidRPr="00A25122">
          <w:rPr>
            <w:rStyle w:val="Hyperlink"/>
            <w:rFonts w:ascii="Arial" w:hAnsi="Arial" w:cs="Arial"/>
            <w:sz w:val="24"/>
            <w:szCs w:val="24"/>
          </w:rPr>
          <w:t>Revision to the Senate Bylaws to Provide Representation for Ombuds Officers on Senate Committees (Senate Doc. No. 16-17-09) (Action)</w:t>
        </w:r>
      </w:hyperlink>
    </w:p>
    <w:p w14:paraId="7CCF4764" w14:textId="77777777" w:rsidR="00F83666" w:rsidRPr="00F83666" w:rsidRDefault="00F83666" w:rsidP="00F8366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B53DC1">
        <w:rPr>
          <w:rFonts w:ascii="Arial" w:eastAsia="MS Mincho" w:hAnsi="Arial" w:cs="Arial"/>
          <w:sz w:val="24"/>
          <w:szCs w:val="24"/>
        </w:rPr>
        <w:t>The Senate voted to approve the proposal.</w:t>
      </w:r>
    </w:p>
    <w:p w14:paraId="36F2C476" w14:textId="77777777" w:rsidR="00CA31F2" w:rsidRPr="00F83666" w:rsidRDefault="001C4AAE" w:rsidP="00CA31F2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0" w:history="1">
        <w:r w:rsidR="00CA31F2" w:rsidRPr="00A25122">
          <w:rPr>
            <w:rStyle w:val="Hyperlink"/>
            <w:rFonts w:ascii="Arial" w:hAnsi="Arial" w:cs="Arial"/>
            <w:sz w:val="24"/>
            <w:szCs w:val="24"/>
          </w:rPr>
          <w:t>Revision to the Membership of the Senate's Equity, Diversity, and Inclusion Committee (Senate Doc. No. 16-17-12) (Action)</w:t>
        </w:r>
      </w:hyperlink>
    </w:p>
    <w:p w14:paraId="1A67A388" w14:textId="77777777" w:rsidR="00F83666" w:rsidRPr="00F83666" w:rsidRDefault="00F83666" w:rsidP="00F8366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B53DC1">
        <w:rPr>
          <w:rFonts w:ascii="Arial" w:eastAsia="MS Mincho" w:hAnsi="Arial" w:cs="Arial"/>
          <w:sz w:val="24"/>
          <w:szCs w:val="24"/>
        </w:rPr>
        <w:t>The Senate voted to approve the proposal.</w:t>
      </w:r>
    </w:p>
    <w:p w14:paraId="14F968E2" w14:textId="77777777" w:rsidR="00CA31F2" w:rsidRPr="00F83666" w:rsidRDefault="001C4AAE" w:rsidP="00CA31F2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CA31F2" w:rsidRPr="00A25122">
          <w:rPr>
            <w:rStyle w:val="Hyperlink"/>
            <w:rFonts w:ascii="Arial" w:hAnsi="Arial" w:cs="Arial"/>
            <w:sz w:val="24"/>
            <w:szCs w:val="24"/>
          </w:rPr>
          <w:t>Review of the Senate Student Affairs Committee Specifications (Senate Doc. No. 16-17-15) (Action)</w:t>
        </w:r>
      </w:hyperlink>
    </w:p>
    <w:p w14:paraId="3F395CBA" w14:textId="77777777" w:rsidR="00F83666" w:rsidRPr="00F83666" w:rsidRDefault="00F83666" w:rsidP="00F8366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B53DC1">
        <w:rPr>
          <w:rFonts w:ascii="Arial" w:eastAsia="MS Mincho" w:hAnsi="Arial" w:cs="Arial"/>
          <w:sz w:val="24"/>
          <w:szCs w:val="24"/>
        </w:rPr>
        <w:t>The Senate voted to approve the proposal.</w:t>
      </w:r>
    </w:p>
    <w:p w14:paraId="16A70F02" w14:textId="77777777" w:rsidR="00CA31F2" w:rsidRDefault="001C4AAE" w:rsidP="00CA31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2" w:history="1">
        <w:r w:rsidR="00CA31F2" w:rsidRPr="00A25122">
          <w:rPr>
            <w:rStyle w:val="Hyperlink"/>
            <w:rFonts w:ascii="Arial" w:hAnsi="Arial" w:cs="Arial"/>
            <w:sz w:val="24"/>
            <w:szCs w:val="24"/>
          </w:rPr>
          <w:t>Revisions to the Charge of the Faculty Affairs Committee and Plan of Organization Review Procedures (Senate Doc. No. 16-17-25) (Action)</w:t>
        </w:r>
      </w:hyperlink>
      <w:r w:rsidR="00CA31F2" w:rsidRPr="00CA31F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F7857D" w14:textId="77777777" w:rsidR="00F83666" w:rsidRPr="00F83666" w:rsidRDefault="00F83666" w:rsidP="00F83666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B53DC1">
        <w:rPr>
          <w:rFonts w:ascii="Arial" w:eastAsia="MS Mincho" w:hAnsi="Arial" w:cs="Arial"/>
          <w:sz w:val="24"/>
          <w:szCs w:val="24"/>
        </w:rPr>
        <w:t>The Senate voted to approve the proposal.</w:t>
      </w:r>
    </w:p>
    <w:p w14:paraId="2FC8C402" w14:textId="77777777" w:rsidR="00CA31F2" w:rsidRPr="006F7DD1" w:rsidRDefault="00CA31F2" w:rsidP="006F7D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7DD1">
        <w:rPr>
          <w:rFonts w:ascii="Arial" w:hAnsi="Arial" w:cs="Arial"/>
          <w:color w:val="000000"/>
          <w:sz w:val="24"/>
          <w:szCs w:val="24"/>
        </w:rPr>
        <w:t xml:space="preserve">Special Order of the Day, </w:t>
      </w:r>
      <w:r w:rsidRPr="006F7DD1">
        <w:rPr>
          <w:rFonts w:ascii="Arial" w:hAnsi="Arial" w:cs="Arial"/>
          <w:sz w:val="24"/>
          <w:szCs w:val="24"/>
        </w:rPr>
        <w:t xml:space="preserve">Philip </w:t>
      </w:r>
      <w:proofErr w:type="spellStart"/>
      <w:r w:rsidRPr="006F7DD1">
        <w:rPr>
          <w:rFonts w:ascii="Arial" w:hAnsi="Arial" w:cs="Arial"/>
          <w:sz w:val="24"/>
          <w:szCs w:val="24"/>
        </w:rPr>
        <w:t>DeShong</w:t>
      </w:r>
      <w:proofErr w:type="spellEnd"/>
      <w:r w:rsidRPr="006F7DD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F7DD1">
        <w:rPr>
          <w:rFonts w:ascii="Arial" w:hAnsi="Arial" w:cs="Arial"/>
          <w:sz w:val="24"/>
          <w:szCs w:val="24"/>
        </w:rPr>
        <w:t>Professor, Dept. of Chemistry &amp; Biochemistry and Chair of the Conflict of Interest Committee   </w:t>
      </w:r>
    </w:p>
    <w:p w14:paraId="44145206" w14:textId="77777777" w:rsidR="006F7DD1" w:rsidRPr="006F7DD1" w:rsidRDefault="001C4AAE" w:rsidP="006F7DD1">
      <w:pPr>
        <w:pStyle w:val="ListParagraph"/>
        <w:shd w:val="clear" w:color="auto" w:fill="FFFFFF"/>
        <w:rPr>
          <w:rFonts w:ascii="Arial" w:hAnsi="Arial" w:cs="Arial"/>
          <w:i/>
          <w:color w:val="000000"/>
          <w:sz w:val="24"/>
          <w:szCs w:val="24"/>
        </w:rPr>
      </w:pPr>
      <w:hyperlink r:id="rId13" w:history="1">
        <w:r w:rsidR="00CA31F2" w:rsidRPr="006F7DD1">
          <w:rPr>
            <w:rStyle w:val="Hyperlink"/>
            <w:rFonts w:ascii="Arial" w:hAnsi="Arial" w:cs="Arial"/>
            <w:i/>
            <w:sz w:val="24"/>
            <w:szCs w:val="24"/>
          </w:rPr>
          <w:t>An Overview of Conflict of Interest Issues</w:t>
        </w:r>
      </w:hyperlink>
    </w:p>
    <w:p w14:paraId="5A9B8D17" w14:textId="77777777" w:rsidR="006F7DD1" w:rsidRPr="006F7DD1" w:rsidRDefault="006F7DD1" w:rsidP="006F7DD1">
      <w:pPr>
        <w:pStyle w:val="ListParagraph"/>
        <w:numPr>
          <w:ilvl w:val="1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Philip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DeShong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gave an overview of the University’s conflict of interest policy and explained why it is important in University research. </w:t>
      </w:r>
    </w:p>
    <w:p w14:paraId="1C808E30" w14:textId="77777777" w:rsidR="006F7DD1" w:rsidRPr="006F7DD1" w:rsidRDefault="006F7DD1" w:rsidP="006F7DD1">
      <w:pPr>
        <w:pStyle w:val="ListParagraph"/>
        <w:numPr>
          <w:ilvl w:val="1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 provided ways of managing conflict of interest issues and gave some examples for management plans.</w:t>
      </w:r>
    </w:p>
    <w:p w14:paraId="0ADB9152" w14:textId="77777777" w:rsidR="00CA31F2" w:rsidRPr="006F7DD1" w:rsidRDefault="00CA31F2" w:rsidP="006F7DD1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 w:rsidRPr="006F7DD1">
        <w:rPr>
          <w:rFonts w:ascii="Arial" w:hAnsi="Arial" w:cs="Arial"/>
          <w:color w:val="000000"/>
          <w:sz w:val="24"/>
          <w:szCs w:val="24"/>
        </w:rPr>
        <w:lastRenderedPageBreak/>
        <w:t>Special Order of the Day</w:t>
      </w:r>
      <w:r w:rsidRPr="006F7DD1">
        <w:rPr>
          <w:rFonts w:ascii="Arial" w:hAnsi="Arial" w:cs="Arial"/>
          <w:sz w:val="24"/>
          <w:szCs w:val="24"/>
        </w:rPr>
        <w:t>, Brian Ullmann, Associate Vice President of Marketing &amp; Communication, University Relations and Brian Logue, Senior Director of Annual Giving, University Relations</w:t>
      </w:r>
    </w:p>
    <w:p w14:paraId="2462AE03" w14:textId="77777777" w:rsidR="006F7DD1" w:rsidRPr="006F7DD1" w:rsidRDefault="001C4AAE" w:rsidP="006F7DD1">
      <w:pPr>
        <w:pStyle w:val="ListParagraph"/>
        <w:rPr>
          <w:rFonts w:ascii="Arial" w:hAnsi="Arial" w:cs="Arial"/>
          <w:i/>
          <w:color w:val="000000"/>
          <w:sz w:val="24"/>
          <w:szCs w:val="24"/>
        </w:rPr>
      </w:pPr>
      <w:hyperlink r:id="rId14" w:history="1">
        <w:r w:rsidR="00CA31F2" w:rsidRPr="006F7DD1">
          <w:rPr>
            <w:rStyle w:val="Hyperlink"/>
            <w:rFonts w:ascii="Arial" w:hAnsi="Arial" w:cs="Arial"/>
            <w:i/>
            <w:sz w:val="24"/>
            <w:szCs w:val="24"/>
          </w:rPr>
          <w:t>Fearless Ideas: The Campaign for Maryland and Giving Day</w:t>
        </w:r>
      </w:hyperlink>
    </w:p>
    <w:p w14:paraId="78BA7DE8" w14:textId="77777777" w:rsidR="006F7DD1" w:rsidRPr="006F7DD1" w:rsidRDefault="006F7DD1" w:rsidP="006F7DD1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6F7DD1">
        <w:rPr>
          <w:rFonts w:ascii="Arial" w:hAnsi="Arial" w:cs="Arial"/>
          <w:color w:val="000000"/>
          <w:sz w:val="24"/>
          <w:szCs w:val="24"/>
        </w:rPr>
        <w:t>Brian Ullmann and Brian Logue explained the goals of the Campaign for Maryland and the University’s Giving Day. They spoke about the need to increase the University’s endowment.</w:t>
      </w:r>
    </w:p>
    <w:p w14:paraId="257D1ECD" w14:textId="77777777" w:rsidR="006F7DD1" w:rsidRPr="006F7DD1" w:rsidRDefault="006F7DD1" w:rsidP="006F7DD1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6F7DD1">
        <w:rPr>
          <w:rFonts w:ascii="Arial" w:hAnsi="Arial" w:cs="Arial"/>
          <w:color w:val="000000"/>
          <w:sz w:val="24"/>
          <w:szCs w:val="24"/>
        </w:rPr>
        <w:t>They also explained the importance of creating a culture of giving, enhancing the University’s reputation, increasing the donor base, and generating best practices in advancement.</w:t>
      </w:r>
    </w:p>
    <w:p w14:paraId="4C135924" w14:textId="77777777" w:rsidR="00CA31F2" w:rsidRPr="00CA31F2" w:rsidRDefault="00CA31F2" w:rsidP="00CA31F2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Relevant Links</w:t>
      </w:r>
    </w:p>
    <w:p w14:paraId="1D4F9C89" w14:textId="77777777" w:rsidR="00CA31F2" w:rsidRPr="00CA31F2" w:rsidRDefault="00CA31F2" w:rsidP="00EA2228">
      <w:pPr>
        <w:pStyle w:val="ListParagraph"/>
        <w:numPr>
          <w:ilvl w:val="1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March Senate Newsletter</w:t>
      </w:r>
      <w:r w:rsidR="00EA2228"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15" w:history="1">
        <w:r w:rsidR="00EA2228" w:rsidRPr="00D11913">
          <w:rPr>
            <w:rStyle w:val="Hyperlink"/>
            <w:rFonts w:ascii="Arial" w:hAnsi="Arial" w:cs="Arial"/>
            <w:sz w:val="24"/>
            <w:szCs w:val="24"/>
          </w:rPr>
          <w:t>http://pub.lucidpress.com/SenateMar17/</w:t>
        </w:r>
      </w:hyperlink>
      <w:r w:rsidR="00EA22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235012C" w14:textId="77777777" w:rsidR="00CA31F2" w:rsidRPr="00A25122" w:rsidRDefault="00CA31F2" w:rsidP="00CA31F2">
      <w:pPr>
        <w:pStyle w:val="ListParagraph"/>
        <w:numPr>
          <w:ilvl w:val="1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Call for Nominations for elected committees and councils</w:t>
      </w:r>
      <w:r w:rsidR="00A25122">
        <w:rPr>
          <w:rFonts w:ascii="Arial" w:hAnsi="Arial" w:cs="Arial"/>
          <w:color w:val="000000"/>
          <w:sz w:val="24"/>
          <w:szCs w:val="24"/>
        </w:rPr>
        <w:t>:</w:t>
      </w:r>
    </w:p>
    <w:p w14:paraId="167AC0D1" w14:textId="77777777" w:rsidR="00A25122" w:rsidRPr="00A25122" w:rsidRDefault="001C4AAE" w:rsidP="00A25122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  <w:hyperlink r:id="rId16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https://senate.umd.edu/news/archives/2017CallForNominees.cfm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43BE81" w14:textId="77777777" w:rsidR="00CA31F2" w:rsidRPr="00CA31F2" w:rsidRDefault="00CA31F2" w:rsidP="00A2512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CA31F2">
        <w:rPr>
          <w:rFonts w:ascii="Arial" w:hAnsi="Arial" w:cs="Arial"/>
          <w:color w:val="000000"/>
          <w:sz w:val="24"/>
          <w:szCs w:val="24"/>
        </w:rPr>
        <w:t>Review of the Interim University of Maryland Equal Employment Opportunity &amp; Affirmative Action Statement of Policy (Senate Doc. No. 16-17-26)</w:t>
      </w:r>
      <w:r w:rsidR="00A25122">
        <w:rPr>
          <w:rFonts w:ascii="Arial" w:hAnsi="Arial" w:cs="Arial"/>
          <w:color w:val="000000"/>
          <w:sz w:val="24"/>
          <w:szCs w:val="24"/>
        </w:rPr>
        <w:t xml:space="preserve">: </w:t>
      </w:r>
      <w:r w:rsidRPr="00CA31F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7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https://senate.umd.edu/sms/index.cfm?event=publicViewBill&amp;billId=609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F05DFE" w14:textId="77777777" w:rsidR="00A25122" w:rsidRDefault="00CA31F2" w:rsidP="00CA31F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CA31F2">
        <w:rPr>
          <w:rFonts w:ascii="Arial" w:hAnsi="Arial" w:cs="Arial"/>
          <w:color w:val="000000"/>
          <w:sz w:val="24"/>
          <w:szCs w:val="24"/>
        </w:rPr>
        <w:t>Revision to the Senate Bylaws to Provide Representation for Ombuds Officers on Senate Committees (Senate Doc. No. 16-17-09)</w:t>
      </w:r>
      <w:r w:rsidR="00A25122">
        <w:rPr>
          <w:rFonts w:ascii="Arial" w:hAnsi="Arial" w:cs="Arial"/>
          <w:color w:val="000000"/>
          <w:sz w:val="24"/>
          <w:szCs w:val="24"/>
        </w:rPr>
        <w:t>:</w:t>
      </w:r>
    </w:p>
    <w:p w14:paraId="2B5287F5" w14:textId="77777777" w:rsidR="00CA31F2" w:rsidRPr="00CA31F2" w:rsidRDefault="001C4AAE" w:rsidP="00A25122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  <w:hyperlink r:id="rId18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https://senate.umd.edu/sms/index.cfm?event=publicViewBill&amp;billId=591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367BB4" w14:textId="77777777" w:rsidR="00CA31F2" w:rsidRPr="00A25122" w:rsidRDefault="00CA31F2" w:rsidP="00A2512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CA31F2">
        <w:rPr>
          <w:rFonts w:ascii="Arial" w:hAnsi="Arial" w:cs="Arial"/>
          <w:color w:val="000000"/>
          <w:sz w:val="24"/>
          <w:szCs w:val="24"/>
        </w:rPr>
        <w:t>Revision to the Membership of the Senate's Equity, Diversity, and Inclusion Committee (Senate Doc. No. 16-17-12)</w:t>
      </w:r>
      <w:r w:rsidR="00A25122">
        <w:rPr>
          <w:rFonts w:ascii="Arial" w:hAnsi="Arial" w:cs="Arial"/>
          <w:color w:val="000000"/>
          <w:sz w:val="24"/>
          <w:szCs w:val="24"/>
        </w:rPr>
        <w:t>:</w:t>
      </w:r>
      <w:r w:rsidRPr="00A2512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9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https://senate.umd.edu/sms/index.cfm?event=publicViewBill&amp;billId=595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D34569E" w14:textId="77777777" w:rsidR="00A25122" w:rsidRDefault="00CA31F2" w:rsidP="00CA31F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CA31F2">
        <w:rPr>
          <w:rFonts w:ascii="Arial" w:hAnsi="Arial" w:cs="Arial"/>
          <w:color w:val="000000"/>
          <w:sz w:val="24"/>
          <w:szCs w:val="24"/>
        </w:rPr>
        <w:t>Review of the Senate Student Affairs Committee Specifications (Senate Doc. No. 16-17-15)</w:t>
      </w:r>
    </w:p>
    <w:p w14:paraId="5BEBEE5F" w14:textId="77777777" w:rsidR="00CA31F2" w:rsidRPr="00CA31F2" w:rsidRDefault="001C4AAE" w:rsidP="00A25122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  <w:hyperlink r:id="rId20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https://senate.umd.edu/sms/index.cfm?event=publicViewBill&amp;billId=598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5249FD6" w14:textId="77777777" w:rsidR="00A25122" w:rsidRDefault="00CA31F2" w:rsidP="00CA31F2">
      <w:pPr>
        <w:pStyle w:val="ListParagraph"/>
        <w:numPr>
          <w:ilvl w:val="1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CA31F2">
        <w:rPr>
          <w:rFonts w:ascii="Arial" w:hAnsi="Arial" w:cs="Arial"/>
          <w:color w:val="000000"/>
          <w:sz w:val="24"/>
          <w:szCs w:val="24"/>
        </w:rPr>
        <w:t>Revisions to the Charge of the Faculty Affairs Committee and Plan of Organization Review Procedures (Senate Doc. No. 16-17-25)</w:t>
      </w:r>
    </w:p>
    <w:p w14:paraId="691488BE" w14:textId="77777777" w:rsidR="00CA31F2" w:rsidRPr="00CA31F2" w:rsidRDefault="001C4AAE" w:rsidP="00A25122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  <w:hyperlink r:id="rId21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https://senate.umd.edu/sms/index.cfm?event=publicViewBill&amp;billId=608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CEBD1C" w14:textId="77777777" w:rsidR="00CA31F2" w:rsidRPr="00A25122" w:rsidRDefault="00CA31F2" w:rsidP="00CA31F2">
      <w:pPr>
        <w:pStyle w:val="ListParagraph"/>
        <w:numPr>
          <w:ilvl w:val="1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Conflict of Interest Presentation</w:t>
      </w:r>
      <w:r w:rsidR="00A2512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D39BE14" w14:textId="77777777" w:rsidR="00A25122" w:rsidRPr="00A25122" w:rsidRDefault="001C4AAE" w:rsidP="00A25122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  <w:hyperlink r:id="rId22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https://senate.umd.edu/meetings/materials/2016to2017/030817/2017_COI_Senate.pdf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3DD61C" w14:textId="77777777" w:rsidR="00CA31F2" w:rsidRPr="00A25122" w:rsidRDefault="00CA31F2" w:rsidP="00CA31F2">
      <w:pPr>
        <w:pStyle w:val="ListParagraph"/>
        <w:numPr>
          <w:ilvl w:val="1"/>
          <w:numId w:val="3"/>
        </w:numPr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Fearless Ideas: The Campaign for Maryland and Giving Day Presentation</w:t>
      </w:r>
      <w:r w:rsidR="00A25122">
        <w:rPr>
          <w:rFonts w:ascii="Arial" w:hAnsi="Arial" w:cs="Arial"/>
          <w:color w:val="000000"/>
          <w:sz w:val="24"/>
          <w:szCs w:val="24"/>
        </w:rPr>
        <w:t>:</w:t>
      </w:r>
    </w:p>
    <w:p w14:paraId="3E4BF000" w14:textId="77777777" w:rsidR="00A25122" w:rsidRPr="00A25122" w:rsidRDefault="001C4AAE" w:rsidP="00A25122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  <w:hyperlink r:id="rId23" w:history="1">
        <w:r w:rsidR="00A25122" w:rsidRPr="005253FF">
          <w:rPr>
            <w:rStyle w:val="Hyperlink"/>
            <w:rFonts w:ascii="Arial" w:hAnsi="Arial" w:cs="Arial"/>
            <w:sz w:val="24"/>
            <w:szCs w:val="24"/>
          </w:rPr>
          <w:t>https://senate.umd.edu/meetings/materials/2016to2017/030817/Giving_Day_Senate_Meeting.pdf</w:t>
        </w:r>
      </w:hyperlink>
      <w:r w:rsidR="00A251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430559" w14:textId="77777777" w:rsidR="00CA31F2" w:rsidRDefault="00CA31F2" w:rsidP="00CA31F2">
      <w:pPr>
        <w:pStyle w:val="ListParagraph"/>
      </w:pPr>
    </w:p>
    <w:sectPr w:rsidR="00CA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AB9"/>
    <w:multiLevelType w:val="hybridMultilevel"/>
    <w:tmpl w:val="97F8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21F4"/>
    <w:multiLevelType w:val="hybridMultilevel"/>
    <w:tmpl w:val="6C30D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F62487"/>
    <w:multiLevelType w:val="hybridMultilevel"/>
    <w:tmpl w:val="5A76FCC2"/>
    <w:lvl w:ilvl="0" w:tplc="01209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622CB"/>
    <w:multiLevelType w:val="hybridMultilevel"/>
    <w:tmpl w:val="07BE5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884D29"/>
    <w:multiLevelType w:val="hybridMultilevel"/>
    <w:tmpl w:val="D2188096"/>
    <w:lvl w:ilvl="0" w:tplc="82C09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7774"/>
    <w:multiLevelType w:val="hybridMultilevel"/>
    <w:tmpl w:val="DC6C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C387C"/>
    <w:multiLevelType w:val="hybridMultilevel"/>
    <w:tmpl w:val="66B2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F2"/>
    <w:rsid w:val="00023A3C"/>
    <w:rsid w:val="00044C26"/>
    <w:rsid w:val="00050D6B"/>
    <w:rsid w:val="00065524"/>
    <w:rsid w:val="00085CD5"/>
    <w:rsid w:val="000D5CD3"/>
    <w:rsid w:val="00114541"/>
    <w:rsid w:val="0014257C"/>
    <w:rsid w:val="0015410F"/>
    <w:rsid w:val="00185622"/>
    <w:rsid w:val="001A6ED8"/>
    <w:rsid w:val="001B3C58"/>
    <w:rsid w:val="001C4AAE"/>
    <w:rsid w:val="001D5D36"/>
    <w:rsid w:val="001E73D6"/>
    <w:rsid w:val="001F2222"/>
    <w:rsid w:val="0025650C"/>
    <w:rsid w:val="002636D0"/>
    <w:rsid w:val="002A2A4C"/>
    <w:rsid w:val="002D6F72"/>
    <w:rsid w:val="002E7C1B"/>
    <w:rsid w:val="002F504A"/>
    <w:rsid w:val="00307522"/>
    <w:rsid w:val="003458D7"/>
    <w:rsid w:val="0035274B"/>
    <w:rsid w:val="00362873"/>
    <w:rsid w:val="003841CB"/>
    <w:rsid w:val="00384EE9"/>
    <w:rsid w:val="003B6B4F"/>
    <w:rsid w:val="003D0EA9"/>
    <w:rsid w:val="003E0BEE"/>
    <w:rsid w:val="003E4626"/>
    <w:rsid w:val="00406431"/>
    <w:rsid w:val="00435986"/>
    <w:rsid w:val="0045462F"/>
    <w:rsid w:val="00456694"/>
    <w:rsid w:val="00474C14"/>
    <w:rsid w:val="0049016D"/>
    <w:rsid w:val="0049327E"/>
    <w:rsid w:val="004B00B0"/>
    <w:rsid w:val="004E3516"/>
    <w:rsid w:val="00510223"/>
    <w:rsid w:val="00533AA3"/>
    <w:rsid w:val="005675A0"/>
    <w:rsid w:val="005A1B09"/>
    <w:rsid w:val="005C5072"/>
    <w:rsid w:val="005D092B"/>
    <w:rsid w:val="0060105E"/>
    <w:rsid w:val="00601F57"/>
    <w:rsid w:val="00607350"/>
    <w:rsid w:val="00615071"/>
    <w:rsid w:val="006179C3"/>
    <w:rsid w:val="00677F3F"/>
    <w:rsid w:val="006D7B89"/>
    <w:rsid w:val="006F7DD1"/>
    <w:rsid w:val="007027B8"/>
    <w:rsid w:val="007062CF"/>
    <w:rsid w:val="007124DE"/>
    <w:rsid w:val="007203A4"/>
    <w:rsid w:val="00745E66"/>
    <w:rsid w:val="00767451"/>
    <w:rsid w:val="00792A2A"/>
    <w:rsid w:val="007942AD"/>
    <w:rsid w:val="007B491B"/>
    <w:rsid w:val="007B6041"/>
    <w:rsid w:val="007D0BFC"/>
    <w:rsid w:val="007E2494"/>
    <w:rsid w:val="00816264"/>
    <w:rsid w:val="008203A7"/>
    <w:rsid w:val="008361BC"/>
    <w:rsid w:val="00836211"/>
    <w:rsid w:val="008530A6"/>
    <w:rsid w:val="008A2AB6"/>
    <w:rsid w:val="008F1E26"/>
    <w:rsid w:val="009229E6"/>
    <w:rsid w:val="00925491"/>
    <w:rsid w:val="009658C7"/>
    <w:rsid w:val="009924F4"/>
    <w:rsid w:val="009B28C1"/>
    <w:rsid w:val="009E1B6A"/>
    <w:rsid w:val="009F5CF3"/>
    <w:rsid w:val="00A05B06"/>
    <w:rsid w:val="00A25122"/>
    <w:rsid w:val="00A80BCC"/>
    <w:rsid w:val="00A978DF"/>
    <w:rsid w:val="00AB7032"/>
    <w:rsid w:val="00AC3BEA"/>
    <w:rsid w:val="00B42F44"/>
    <w:rsid w:val="00B452F2"/>
    <w:rsid w:val="00B72FF3"/>
    <w:rsid w:val="00B85CEC"/>
    <w:rsid w:val="00BA61BB"/>
    <w:rsid w:val="00BB6D4E"/>
    <w:rsid w:val="00BC04DF"/>
    <w:rsid w:val="00BD1636"/>
    <w:rsid w:val="00BF4462"/>
    <w:rsid w:val="00C344FF"/>
    <w:rsid w:val="00C34649"/>
    <w:rsid w:val="00C74CD6"/>
    <w:rsid w:val="00CA31F2"/>
    <w:rsid w:val="00CA3734"/>
    <w:rsid w:val="00CA4E61"/>
    <w:rsid w:val="00CD317D"/>
    <w:rsid w:val="00D26022"/>
    <w:rsid w:val="00D40FC6"/>
    <w:rsid w:val="00D57A05"/>
    <w:rsid w:val="00D75B7F"/>
    <w:rsid w:val="00D87DE8"/>
    <w:rsid w:val="00DE22FA"/>
    <w:rsid w:val="00DE47D1"/>
    <w:rsid w:val="00DE6DE5"/>
    <w:rsid w:val="00E11B1F"/>
    <w:rsid w:val="00E11E9C"/>
    <w:rsid w:val="00E35C17"/>
    <w:rsid w:val="00E424BD"/>
    <w:rsid w:val="00E51404"/>
    <w:rsid w:val="00E73262"/>
    <w:rsid w:val="00E744C2"/>
    <w:rsid w:val="00E82FE8"/>
    <w:rsid w:val="00E83C0C"/>
    <w:rsid w:val="00EA2228"/>
    <w:rsid w:val="00EC426C"/>
    <w:rsid w:val="00EE0E91"/>
    <w:rsid w:val="00F1274D"/>
    <w:rsid w:val="00F12DF2"/>
    <w:rsid w:val="00F14E3A"/>
    <w:rsid w:val="00F37FEC"/>
    <w:rsid w:val="00F522F3"/>
    <w:rsid w:val="00F5263F"/>
    <w:rsid w:val="00F652CD"/>
    <w:rsid w:val="00F83666"/>
    <w:rsid w:val="00F91866"/>
    <w:rsid w:val="00F95BBF"/>
    <w:rsid w:val="00FC0D65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AFA3"/>
  <w15:chartTrackingRefBased/>
  <w15:docId w15:val="{C6EB2087-C542-4BE7-933C-EDC8EA84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1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enate.umd.edu/sms/index.cfm?event=publicViewBill&amp;billId=591&amp;context=c" TargetMode="External"/><Relationship Id="rId20" Type="http://schemas.openxmlformats.org/officeDocument/2006/relationships/hyperlink" Target="https://senate.umd.edu/sms/index.cfm?event=publicViewBill&amp;billId=598" TargetMode="External"/><Relationship Id="rId21" Type="http://schemas.openxmlformats.org/officeDocument/2006/relationships/hyperlink" Target="https://senate.umd.edu/sms/index.cfm?event=publicViewBill&amp;billId=608" TargetMode="External"/><Relationship Id="rId22" Type="http://schemas.openxmlformats.org/officeDocument/2006/relationships/hyperlink" Target="https://senate.umd.edu/meetings/materials/2016to2017/030817/2017_COI_Senate.pdf" TargetMode="External"/><Relationship Id="rId23" Type="http://schemas.openxmlformats.org/officeDocument/2006/relationships/hyperlink" Target="https://senate.umd.edu/meetings/materials/2016to2017/030817/Giving_Day_Senate_Meeting.pdf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senate.umd.edu/sms/index.cfm?event=publicViewBill&amp;billId=595&amp;context=c" TargetMode="External"/><Relationship Id="rId11" Type="http://schemas.openxmlformats.org/officeDocument/2006/relationships/hyperlink" Target="https://senate.umd.edu/sms/index.cfm?event=publicViewBill&amp;billId=598&amp;context=c" TargetMode="External"/><Relationship Id="rId12" Type="http://schemas.openxmlformats.org/officeDocument/2006/relationships/hyperlink" Target="https://senate.umd.edu/sms/index.cfm?event=publicViewBill&amp;billId=608&amp;context=c" TargetMode="External"/><Relationship Id="rId13" Type="http://schemas.openxmlformats.org/officeDocument/2006/relationships/hyperlink" Target="https://senate.umd.edu/meetings/materials/2016to2017/030817/2017_COI_Senate.pdf" TargetMode="External"/><Relationship Id="rId14" Type="http://schemas.openxmlformats.org/officeDocument/2006/relationships/hyperlink" Target="https://senate.umd.edu/meetings/materials/2016to2017/030817/Giving_Day_Senate_Meeting.pdf" TargetMode="External"/><Relationship Id="rId15" Type="http://schemas.openxmlformats.org/officeDocument/2006/relationships/hyperlink" Target="http://pub.lucidpress.com/SenateMar17/" TargetMode="External"/><Relationship Id="rId16" Type="http://schemas.openxmlformats.org/officeDocument/2006/relationships/hyperlink" Target="https://senate.umd.edu/news/archives/2017CallForNominees.cfm" TargetMode="External"/><Relationship Id="rId17" Type="http://schemas.openxmlformats.org/officeDocument/2006/relationships/hyperlink" Target="https://senate.umd.edu/sms/index.cfm?event=publicViewBill&amp;billId=609" TargetMode="External"/><Relationship Id="rId18" Type="http://schemas.openxmlformats.org/officeDocument/2006/relationships/hyperlink" Target="https://senate.umd.edu/sms/index.cfm?event=publicViewBill&amp;billId=591" TargetMode="External"/><Relationship Id="rId19" Type="http://schemas.openxmlformats.org/officeDocument/2006/relationships/hyperlink" Target="https://senate.umd.edu/sms/index.cfm?event=publicViewBill&amp;billId=595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ub.lucidpress.com/SenateMar17/" TargetMode="External"/><Relationship Id="rId6" Type="http://schemas.openxmlformats.org/officeDocument/2006/relationships/hyperlink" Target="https://senate.umd.edu/committees/nomcomm/index.cfm" TargetMode="External"/><Relationship Id="rId7" Type="http://schemas.openxmlformats.org/officeDocument/2006/relationships/hyperlink" Target="https://senate.umd.edu/news/archives/2017CallForNominees.cfm" TargetMode="External"/><Relationship Id="rId8" Type="http://schemas.openxmlformats.org/officeDocument/2006/relationships/hyperlink" Target="https://senate.umd.edu/sms/index.cfm?event=publicViewBill&amp;billId=609&amp;context=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C. Gaida</dc:creator>
  <cp:keywords/>
  <dc:description/>
  <cp:lastModifiedBy>Reka Montfort</cp:lastModifiedBy>
  <cp:revision>3</cp:revision>
  <dcterms:created xsi:type="dcterms:W3CDTF">2017-03-09T17:10:00Z</dcterms:created>
  <dcterms:modified xsi:type="dcterms:W3CDTF">2017-03-09T17:28:00Z</dcterms:modified>
</cp:coreProperties>
</file>